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43F6A" w14:textId="6FB0E18A" w:rsidR="005E57A9" w:rsidRPr="00FF329E" w:rsidRDefault="005E57A9" w:rsidP="005E57A9">
      <w:pPr>
        <w:pStyle w:val="2"/>
        <w:tabs>
          <w:tab w:val="clear" w:pos="567"/>
          <w:tab w:val="left" w:pos="0"/>
        </w:tabs>
        <w:spacing w:before="0" w:after="0" w:line="360" w:lineRule="auto"/>
        <w:ind w:left="0" w:firstLine="0"/>
        <w:contextualSpacing/>
        <w:mirrorIndents/>
        <w:rPr>
          <w:rFonts w:ascii="Cambria" w:hAnsi="Cambria"/>
          <w:sz w:val="22"/>
          <w:lang w:val="el-GR"/>
        </w:rPr>
      </w:pPr>
      <w:r w:rsidRPr="00FF329E">
        <w:rPr>
          <w:rFonts w:ascii="Cambria" w:hAnsi="Cambria"/>
          <w:sz w:val="22"/>
          <w:lang w:val="el-GR"/>
        </w:rPr>
        <w:t>ΠΑΡΑΡΤΗΜΑ Ι</w:t>
      </w:r>
      <w:r w:rsidR="00352C02">
        <w:rPr>
          <w:rFonts w:ascii="Cambria" w:hAnsi="Cambria"/>
          <w:sz w:val="22"/>
          <w:lang w:val="en-US"/>
        </w:rPr>
        <w:t>V</w:t>
      </w:r>
      <w:r w:rsidRPr="00FF329E">
        <w:rPr>
          <w:rFonts w:ascii="Cambria" w:hAnsi="Cambria"/>
          <w:sz w:val="22"/>
          <w:lang w:val="el-GR"/>
        </w:rPr>
        <w:t xml:space="preserve">.    Υπόδειγμα Οικονομικής Προσφοράς </w:t>
      </w:r>
    </w:p>
    <w:p w14:paraId="2601807A" w14:textId="77777777" w:rsidR="005E57A9" w:rsidRPr="00FF329E" w:rsidRDefault="005E57A9" w:rsidP="005E57A9">
      <w:pPr>
        <w:spacing w:line="360" w:lineRule="auto"/>
        <w:rPr>
          <w:rFonts w:ascii="Cambria" w:hAnsi="Cambria"/>
          <w:b/>
          <w:szCs w:val="22"/>
          <w:lang w:val="el-GR"/>
        </w:rPr>
      </w:pPr>
      <w:bookmarkStart w:id="0" w:name="_Toc453001790"/>
      <w:bookmarkStart w:id="1" w:name="_Toc26017376"/>
      <w:bookmarkStart w:id="2" w:name="_Toc130355975"/>
      <w:bookmarkStart w:id="3" w:name="_Toc134601673"/>
      <w:bookmarkStart w:id="4" w:name="_Toc197934260"/>
      <w:bookmarkStart w:id="5" w:name="_Toc199763459"/>
      <w:bookmarkStart w:id="6" w:name="_Toc204065648"/>
      <w:bookmarkStart w:id="7" w:name="_Toc225048052"/>
      <w:bookmarkStart w:id="8" w:name="_Toc421013736"/>
      <w:r w:rsidRPr="00FF329E">
        <w:rPr>
          <w:rFonts w:ascii="Cambria" w:hAnsi="Cambria"/>
          <w:b/>
          <w:szCs w:val="22"/>
          <w:lang w:val="el-GR"/>
        </w:rPr>
        <w:t>Πίνακας Ανάλυσης Οικονομικής Προσφοράς</w:t>
      </w:r>
      <w:bookmarkEnd w:id="0"/>
      <w:bookmarkEnd w:id="1"/>
      <w:bookmarkEnd w:id="2"/>
      <w:bookmarkEnd w:id="3"/>
      <w:bookmarkEnd w:id="4"/>
      <w:bookmarkEnd w:id="5"/>
      <w:bookmarkEnd w:id="6"/>
      <w:bookmarkEnd w:id="7"/>
      <w:bookmarkEnd w:id="8"/>
      <w:r w:rsidRPr="00FF329E">
        <w:rPr>
          <w:rFonts w:ascii="Cambria" w:hAnsi="Cambria"/>
          <w:b/>
          <w:szCs w:val="22"/>
          <w:lang w:val="el-GR"/>
        </w:rPr>
        <w:t xml:space="preserve"> </w:t>
      </w:r>
    </w:p>
    <w:tbl>
      <w:tblPr>
        <w:tblW w:w="10103" w:type="dxa"/>
        <w:jc w:val="center"/>
        <w:tblLayout w:type="fixed"/>
        <w:tblCellMar>
          <w:left w:w="0" w:type="dxa"/>
          <w:right w:w="0" w:type="dxa"/>
        </w:tblCellMar>
        <w:tblLook w:val="04A0" w:firstRow="1" w:lastRow="0" w:firstColumn="1" w:lastColumn="0" w:noHBand="0" w:noVBand="1"/>
      </w:tblPr>
      <w:tblGrid>
        <w:gridCol w:w="459"/>
        <w:gridCol w:w="155"/>
        <w:gridCol w:w="619"/>
        <w:gridCol w:w="960"/>
        <w:gridCol w:w="1210"/>
        <w:gridCol w:w="1381"/>
        <w:gridCol w:w="4165"/>
        <w:gridCol w:w="657"/>
        <w:gridCol w:w="497"/>
      </w:tblGrid>
      <w:tr w:rsidR="005E57A9" w:rsidRPr="00FF329E" w14:paraId="06D3F3CE" w14:textId="77777777" w:rsidTr="006E2DBD">
        <w:trPr>
          <w:gridBefore w:val="2"/>
          <w:wBefore w:w="614" w:type="dxa"/>
          <w:trHeight w:val="356"/>
          <w:jc w:val="center"/>
        </w:trPr>
        <w:tc>
          <w:tcPr>
            <w:tcW w:w="9489" w:type="dxa"/>
            <w:gridSpan w:val="7"/>
            <w:tcBorders>
              <w:top w:val="single" w:sz="4" w:space="0" w:color="000000"/>
              <w:left w:val="single" w:sz="4" w:space="0" w:color="000000"/>
              <w:bottom w:val="single" w:sz="4" w:space="0" w:color="000000"/>
              <w:right w:val="single" w:sz="4" w:space="0" w:color="000000"/>
            </w:tcBorders>
          </w:tcPr>
          <w:p w14:paraId="22AAA04A" w14:textId="77777777" w:rsidR="005E57A9" w:rsidRPr="00FF329E" w:rsidRDefault="005E57A9" w:rsidP="006E2DBD">
            <w:pPr>
              <w:pStyle w:val="TableParagraph"/>
              <w:kinsoku w:val="0"/>
              <w:overflowPunct w:val="0"/>
              <w:spacing w:before="4" w:line="360" w:lineRule="auto"/>
              <w:rPr>
                <w:rFonts w:ascii="Cambria" w:hAnsi="Cambria"/>
              </w:rPr>
            </w:pPr>
            <w:r w:rsidRPr="00FF329E">
              <w:rPr>
                <w:rFonts w:ascii="Cambria" w:hAnsi="Cambria"/>
              </w:rPr>
              <w:t>ΑΝΑΛΥΣΗ ΟΙΚΟΝΟΜΙΚΗΣ ΠΡΟΣΦΟΡΑΣ</w:t>
            </w:r>
          </w:p>
        </w:tc>
      </w:tr>
      <w:tr w:rsidR="005E57A9" w:rsidRPr="00071830" w14:paraId="13899956" w14:textId="77777777" w:rsidTr="006E2DBD">
        <w:trPr>
          <w:gridBefore w:val="2"/>
          <w:wBefore w:w="614" w:type="dxa"/>
          <w:trHeight w:val="276"/>
          <w:jc w:val="center"/>
        </w:trPr>
        <w:tc>
          <w:tcPr>
            <w:tcW w:w="9489" w:type="dxa"/>
            <w:gridSpan w:val="7"/>
            <w:tcBorders>
              <w:top w:val="single" w:sz="4" w:space="0" w:color="000000"/>
              <w:left w:val="single" w:sz="4" w:space="0" w:color="000000"/>
              <w:bottom w:val="single" w:sz="4" w:space="0" w:color="000000"/>
              <w:right w:val="single" w:sz="4" w:space="0" w:color="000000"/>
            </w:tcBorders>
          </w:tcPr>
          <w:p w14:paraId="0A4CD0C7" w14:textId="77777777" w:rsidR="00071830" w:rsidRPr="00693662" w:rsidRDefault="005E57A9" w:rsidP="00071830">
            <w:pPr>
              <w:spacing w:after="0" w:line="360" w:lineRule="auto"/>
              <w:contextualSpacing/>
              <w:mirrorIndents/>
              <w:rPr>
                <w:szCs w:val="22"/>
                <w:lang w:val="el-GR"/>
              </w:rPr>
            </w:pPr>
            <w:r w:rsidRPr="00071830">
              <w:rPr>
                <w:rFonts w:ascii="Cambria" w:hAnsi="Cambria"/>
                <w:lang w:val="el-GR"/>
              </w:rPr>
              <w:t xml:space="preserve">Για τον Ηλεκτρονικό Ανοικτό Διαγωνισμό για την ανάδειξη αναδόχου για την παροχή υπηρεσιών φύλαξης στην ΚΕΝΤΡΙΚΗ ΑΓΟΡΑ ΘΕΣΣΑΛΟΝΙΚΗΣ ΑΕ.     </w:t>
            </w:r>
            <w:r w:rsidR="00071830" w:rsidRPr="00693662">
              <w:rPr>
                <w:szCs w:val="22"/>
                <w:lang w:val="el-GR"/>
              </w:rPr>
              <w:tab/>
            </w:r>
            <w:r w:rsidR="00071830" w:rsidRPr="00693662">
              <w:rPr>
                <w:szCs w:val="22"/>
                <w:lang w:val="el-GR"/>
              </w:rPr>
              <w:tab/>
            </w:r>
            <w:r w:rsidR="00071830" w:rsidRPr="00693662">
              <w:rPr>
                <w:szCs w:val="22"/>
                <w:lang w:val="el-GR"/>
              </w:rPr>
              <w:tab/>
              <w:t xml:space="preserve">      </w:t>
            </w:r>
          </w:p>
          <w:p w14:paraId="3FF2250E" w14:textId="77777777" w:rsidR="00071830" w:rsidRPr="00071830" w:rsidRDefault="00071830" w:rsidP="00071830">
            <w:pPr>
              <w:spacing w:after="0" w:line="360" w:lineRule="auto"/>
              <w:contextualSpacing/>
              <w:mirrorIndents/>
              <w:rPr>
                <w:rFonts w:ascii="Cambria" w:hAnsi="Cambria"/>
                <w:lang w:val="el-GR"/>
              </w:rPr>
            </w:pPr>
            <w:r w:rsidRPr="00071830">
              <w:rPr>
                <w:rFonts w:ascii="Cambria" w:hAnsi="Cambria"/>
                <w:lang w:val="el-GR"/>
              </w:rPr>
              <w:t>Α/Α Συστήματος: 177362</w:t>
            </w:r>
          </w:p>
          <w:p w14:paraId="47845DDB" w14:textId="77777777" w:rsidR="00071830" w:rsidRPr="00071830" w:rsidRDefault="00071830" w:rsidP="00071830">
            <w:pPr>
              <w:spacing w:after="0" w:line="360" w:lineRule="auto"/>
              <w:contextualSpacing/>
              <w:mirrorIndents/>
              <w:rPr>
                <w:rFonts w:ascii="Cambria" w:hAnsi="Cambria"/>
                <w:lang w:val="el-GR"/>
              </w:rPr>
            </w:pPr>
            <w:r w:rsidRPr="00071830">
              <w:rPr>
                <w:rFonts w:ascii="Cambria" w:hAnsi="Cambria"/>
                <w:lang w:val="el-GR"/>
              </w:rPr>
              <w:t>ΑΡ. ΠΡΩΤ. : 3039/16-11-2022</w:t>
            </w:r>
          </w:p>
          <w:p w14:paraId="0C3CCCCD" w14:textId="3C11773F" w:rsidR="005E57A9" w:rsidRPr="00FF329E" w:rsidRDefault="005E57A9" w:rsidP="006E2DBD">
            <w:pPr>
              <w:pStyle w:val="TableParagraph"/>
              <w:kinsoku w:val="0"/>
              <w:overflowPunct w:val="0"/>
              <w:spacing w:before="4" w:line="360" w:lineRule="auto"/>
              <w:rPr>
                <w:rFonts w:ascii="Cambria" w:hAnsi="Cambria"/>
              </w:rPr>
            </w:pPr>
            <w:r w:rsidRPr="00FF329E">
              <w:rPr>
                <w:rFonts w:ascii="Cambria" w:hAnsi="Cambria"/>
              </w:rPr>
              <w:t xml:space="preserve">                                       </w:t>
            </w:r>
          </w:p>
        </w:tc>
      </w:tr>
      <w:tr w:rsidR="005E57A9" w:rsidRPr="00FF329E" w14:paraId="18846A64" w14:textId="77777777" w:rsidTr="006E2DBD">
        <w:tblPrEx>
          <w:jc w:val="left"/>
          <w:tblCellMar>
            <w:left w:w="108" w:type="dxa"/>
            <w:right w:w="108" w:type="dxa"/>
          </w:tblCellMar>
        </w:tblPrEx>
        <w:trPr>
          <w:gridAfter w:val="1"/>
          <w:wAfter w:w="497" w:type="dxa"/>
          <w:trHeight w:hRule="exact" w:val="717"/>
        </w:trPr>
        <w:tc>
          <w:tcPr>
            <w:tcW w:w="2193" w:type="dxa"/>
            <w:gridSpan w:val="4"/>
            <w:tcBorders>
              <w:top w:val="single" w:sz="8" w:space="0" w:color="000000"/>
              <w:left w:val="single" w:sz="8" w:space="0" w:color="000000"/>
              <w:bottom w:val="single" w:sz="8" w:space="0" w:color="000000"/>
              <w:right w:val="single" w:sz="8" w:space="0" w:color="000000"/>
            </w:tcBorders>
            <w:shd w:val="clear" w:color="auto" w:fill="auto"/>
            <w:hideMark/>
          </w:tcPr>
          <w:p w14:paraId="20CC28F3"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pacing w:val="-1"/>
                <w:szCs w:val="22"/>
                <w:lang w:val="el-GR" w:eastAsia="el-GR"/>
              </w:rPr>
              <w:t>Επωνυμία Διαγωνιζόμενου:</w:t>
            </w:r>
          </w:p>
        </w:tc>
        <w:tc>
          <w:tcPr>
            <w:tcW w:w="7413" w:type="dxa"/>
            <w:gridSpan w:val="4"/>
            <w:tcBorders>
              <w:top w:val="single" w:sz="8" w:space="0" w:color="000000"/>
              <w:left w:val="nil"/>
              <w:bottom w:val="single" w:sz="8" w:space="0" w:color="000000"/>
              <w:right w:val="single" w:sz="8" w:space="0" w:color="000000"/>
            </w:tcBorders>
            <w:shd w:val="clear" w:color="auto" w:fill="auto"/>
            <w:hideMark/>
          </w:tcPr>
          <w:p w14:paraId="534BA84D" w14:textId="77777777" w:rsidR="005E57A9" w:rsidRPr="00FF329E" w:rsidRDefault="005E57A9" w:rsidP="006E2DBD">
            <w:pPr>
              <w:suppressAutoHyphens w:val="0"/>
              <w:spacing w:after="0" w:line="360" w:lineRule="auto"/>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r>
      <w:tr w:rsidR="005E57A9" w:rsidRPr="00FF329E" w14:paraId="4FE10780" w14:textId="77777777" w:rsidTr="006E2DBD">
        <w:tblPrEx>
          <w:jc w:val="left"/>
          <w:tblCellMar>
            <w:left w:w="108" w:type="dxa"/>
            <w:right w:w="108" w:type="dxa"/>
          </w:tblCellMar>
        </w:tblPrEx>
        <w:trPr>
          <w:gridAfter w:val="1"/>
          <w:wAfter w:w="497" w:type="dxa"/>
          <w:trHeight w:hRule="exact" w:val="315"/>
        </w:trPr>
        <w:tc>
          <w:tcPr>
            <w:tcW w:w="1233" w:type="dxa"/>
            <w:gridSpan w:val="3"/>
            <w:tcBorders>
              <w:top w:val="nil"/>
              <w:left w:val="single" w:sz="8" w:space="0" w:color="000000"/>
              <w:bottom w:val="single" w:sz="8" w:space="0" w:color="000000"/>
              <w:right w:val="single" w:sz="8" w:space="0" w:color="000000"/>
            </w:tcBorders>
            <w:shd w:val="clear" w:color="auto" w:fill="auto"/>
            <w:hideMark/>
          </w:tcPr>
          <w:p w14:paraId="2AF23EB1" w14:textId="77777777" w:rsidR="005E57A9" w:rsidRPr="00FF329E" w:rsidRDefault="005E57A9" w:rsidP="006E2DBD">
            <w:pPr>
              <w:suppressAutoHyphens w:val="0"/>
              <w:spacing w:after="0" w:line="360" w:lineRule="auto"/>
              <w:jc w:val="left"/>
              <w:rPr>
                <w:rFonts w:ascii="Cambria" w:hAnsi="Cambria" w:cs="Times New Roman"/>
                <w:b/>
                <w:bCs/>
                <w:color w:val="000000"/>
                <w:lang w:val="el-GR" w:eastAsia="el-GR"/>
              </w:rPr>
            </w:pPr>
            <w:r w:rsidRPr="00FF329E">
              <w:rPr>
                <w:rFonts w:ascii="Cambria" w:hAnsi="Cambria" w:cs="Verdana"/>
                <w:b/>
                <w:bCs/>
                <w:color w:val="000000"/>
                <w:szCs w:val="22"/>
                <w:lang w:val="el-GR" w:eastAsia="el-GR"/>
              </w:rPr>
              <w:t>α/α</w:t>
            </w:r>
          </w:p>
        </w:tc>
        <w:tc>
          <w:tcPr>
            <w:tcW w:w="2170" w:type="dxa"/>
            <w:gridSpan w:val="2"/>
            <w:tcBorders>
              <w:top w:val="single" w:sz="8" w:space="0" w:color="000000"/>
              <w:left w:val="nil"/>
              <w:bottom w:val="single" w:sz="8" w:space="0" w:color="000000"/>
              <w:right w:val="single" w:sz="8" w:space="0" w:color="000000"/>
            </w:tcBorders>
            <w:shd w:val="clear" w:color="auto" w:fill="auto"/>
            <w:hideMark/>
          </w:tcPr>
          <w:p w14:paraId="2A5BE744" w14:textId="77777777" w:rsidR="005E57A9" w:rsidRPr="00FF329E" w:rsidRDefault="005E57A9" w:rsidP="006E2DBD">
            <w:pPr>
              <w:suppressAutoHyphens w:val="0"/>
              <w:spacing w:after="0" w:line="360" w:lineRule="auto"/>
              <w:jc w:val="center"/>
              <w:rPr>
                <w:rFonts w:ascii="Cambria" w:hAnsi="Cambria" w:cs="Times New Roman"/>
                <w:b/>
                <w:bCs/>
                <w:color w:val="000000"/>
                <w:lang w:val="el-GR" w:eastAsia="el-GR"/>
              </w:rPr>
            </w:pPr>
            <w:r w:rsidRPr="00FF329E">
              <w:rPr>
                <w:rFonts w:ascii="Cambria" w:hAnsi="Cambria" w:cs="Verdana"/>
                <w:b/>
                <w:bCs/>
                <w:color w:val="000000"/>
                <w:spacing w:val="-1"/>
                <w:szCs w:val="22"/>
                <w:lang w:val="el-GR" w:eastAsia="el-GR"/>
              </w:rPr>
              <w:t>Ανάλυση</w:t>
            </w:r>
          </w:p>
        </w:tc>
        <w:tc>
          <w:tcPr>
            <w:tcW w:w="6203" w:type="dxa"/>
            <w:gridSpan w:val="3"/>
            <w:tcBorders>
              <w:top w:val="nil"/>
              <w:left w:val="nil"/>
              <w:bottom w:val="single" w:sz="8" w:space="0" w:color="000000"/>
              <w:right w:val="single" w:sz="8" w:space="0" w:color="000000"/>
            </w:tcBorders>
            <w:shd w:val="clear" w:color="auto" w:fill="auto"/>
            <w:hideMark/>
          </w:tcPr>
          <w:p w14:paraId="22C3E2D0" w14:textId="77777777" w:rsidR="005E57A9" w:rsidRPr="00FF329E" w:rsidRDefault="005E57A9" w:rsidP="005E57A9">
            <w:pPr>
              <w:suppressAutoHyphens w:val="0"/>
              <w:spacing w:after="0" w:line="360" w:lineRule="auto"/>
              <w:ind w:firstLineChars="400" w:firstLine="887"/>
              <w:jc w:val="left"/>
              <w:rPr>
                <w:rFonts w:ascii="Cambria" w:hAnsi="Cambria" w:cs="Times New Roman"/>
                <w:b/>
                <w:bCs/>
                <w:color w:val="000000"/>
                <w:lang w:val="el-GR" w:eastAsia="el-GR"/>
              </w:rPr>
            </w:pPr>
            <w:r w:rsidRPr="00FF329E">
              <w:rPr>
                <w:rFonts w:ascii="Cambria" w:hAnsi="Cambria" w:cs="Verdana"/>
                <w:b/>
                <w:bCs/>
                <w:color w:val="000000"/>
                <w:spacing w:val="1"/>
                <w:szCs w:val="22"/>
                <w:lang w:val="el-GR" w:eastAsia="el-GR"/>
              </w:rPr>
              <w:t>Ποσό σε €</w:t>
            </w:r>
          </w:p>
        </w:tc>
      </w:tr>
      <w:tr w:rsidR="005E57A9" w:rsidRPr="00FF329E" w14:paraId="5FE85FEE" w14:textId="77777777" w:rsidTr="006E2DBD">
        <w:tblPrEx>
          <w:jc w:val="left"/>
          <w:tblCellMar>
            <w:left w:w="108" w:type="dxa"/>
            <w:right w:w="108" w:type="dxa"/>
          </w:tblCellMar>
        </w:tblPrEx>
        <w:trPr>
          <w:gridAfter w:val="1"/>
          <w:wAfter w:w="497" w:type="dxa"/>
          <w:trHeight w:hRule="exact" w:val="510"/>
        </w:trPr>
        <w:tc>
          <w:tcPr>
            <w:tcW w:w="1233"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06E98D59"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1.</w:t>
            </w:r>
          </w:p>
        </w:tc>
        <w:tc>
          <w:tcPr>
            <w:tcW w:w="8373" w:type="dxa"/>
            <w:gridSpan w:val="5"/>
            <w:tcBorders>
              <w:top w:val="single" w:sz="8" w:space="0" w:color="000000"/>
              <w:left w:val="nil"/>
              <w:bottom w:val="single" w:sz="8" w:space="0" w:color="000000"/>
              <w:right w:val="single" w:sz="8" w:space="0" w:color="000000"/>
            </w:tcBorders>
            <w:shd w:val="clear" w:color="000000" w:fill="D8D8D8"/>
            <w:vAlign w:val="center"/>
            <w:hideMark/>
          </w:tcPr>
          <w:p w14:paraId="48E04CA0"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pacing w:val="1"/>
                <w:szCs w:val="22"/>
                <w:lang w:val="el-GR" w:eastAsia="el-GR"/>
              </w:rPr>
              <w:t>Κόστος Μισθοδοσίας (μηνιαίο)</w:t>
            </w:r>
          </w:p>
        </w:tc>
      </w:tr>
      <w:tr w:rsidR="005E57A9" w:rsidRPr="00071830" w14:paraId="0A12EF56" w14:textId="77777777" w:rsidTr="006E2DBD">
        <w:tblPrEx>
          <w:jc w:val="left"/>
          <w:tblCellMar>
            <w:left w:w="108" w:type="dxa"/>
            <w:right w:w="108" w:type="dxa"/>
          </w:tblCellMar>
        </w:tblPrEx>
        <w:trPr>
          <w:gridAfter w:val="1"/>
          <w:wAfter w:w="497" w:type="dxa"/>
          <w:trHeight w:val="1275"/>
        </w:trPr>
        <w:tc>
          <w:tcPr>
            <w:tcW w:w="1233" w:type="dxa"/>
            <w:gridSpan w:val="3"/>
            <w:vMerge/>
            <w:tcBorders>
              <w:top w:val="nil"/>
              <w:left w:val="single" w:sz="8" w:space="0" w:color="000000"/>
              <w:bottom w:val="single" w:sz="8" w:space="0" w:color="000000"/>
              <w:right w:val="single" w:sz="8" w:space="0" w:color="000000"/>
            </w:tcBorders>
            <w:vAlign w:val="center"/>
            <w:hideMark/>
          </w:tcPr>
          <w:p w14:paraId="70B50413"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6B6A4C34"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zCs w:val="22"/>
                <w:lang w:val="el-GR" w:eastAsia="el-GR"/>
              </w:rPr>
              <w:t>α)  Προϋπολογιζόμενο  ποσό  που  αφορά  τις  πάσης  φύσεως νόμιμες αποδοχές των εργαζομένων.</w:t>
            </w:r>
          </w:p>
        </w:tc>
        <w:tc>
          <w:tcPr>
            <w:tcW w:w="6203" w:type="dxa"/>
            <w:gridSpan w:val="3"/>
            <w:tcBorders>
              <w:top w:val="nil"/>
              <w:left w:val="nil"/>
              <w:bottom w:val="single" w:sz="8" w:space="0" w:color="000000"/>
              <w:right w:val="single" w:sz="8" w:space="0" w:color="000000"/>
            </w:tcBorders>
            <w:shd w:val="clear" w:color="auto" w:fill="auto"/>
            <w:hideMark/>
          </w:tcPr>
          <w:p w14:paraId="67FA581B"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r>
      <w:tr w:rsidR="005E57A9" w:rsidRPr="00071830" w14:paraId="24EF984E" w14:textId="77777777" w:rsidTr="006E2DBD">
        <w:tblPrEx>
          <w:jc w:val="left"/>
          <w:tblCellMar>
            <w:left w:w="108" w:type="dxa"/>
            <w:right w:w="108" w:type="dxa"/>
          </w:tblCellMar>
        </w:tblPrEx>
        <w:trPr>
          <w:gridAfter w:val="1"/>
          <w:wAfter w:w="497" w:type="dxa"/>
          <w:trHeight w:val="1335"/>
        </w:trPr>
        <w:tc>
          <w:tcPr>
            <w:tcW w:w="1233" w:type="dxa"/>
            <w:gridSpan w:val="3"/>
            <w:vMerge/>
            <w:tcBorders>
              <w:top w:val="nil"/>
              <w:left w:val="single" w:sz="8" w:space="0" w:color="000000"/>
              <w:bottom w:val="single" w:sz="8" w:space="0" w:color="000000"/>
              <w:right w:val="single" w:sz="8" w:space="0" w:color="000000"/>
            </w:tcBorders>
            <w:vAlign w:val="center"/>
            <w:hideMark/>
          </w:tcPr>
          <w:p w14:paraId="13745C75"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720BC067"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pacing w:val="-2"/>
                <w:szCs w:val="22"/>
                <w:lang w:val="el-GR" w:eastAsia="el-GR"/>
              </w:rPr>
              <w:t>β)  Ασφαλιστικές  εισφορές  με  βάση  τα  προϋπολογισθέντα ποσά.</w:t>
            </w:r>
          </w:p>
        </w:tc>
        <w:tc>
          <w:tcPr>
            <w:tcW w:w="6203" w:type="dxa"/>
            <w:gridSpan w:val="3"/>
            <w:tcBorders>
              <w:top w:val="nil"/>
              <w:left w:val="nil"/>
              <w:bottom w:val="single" w:sz="8" w:space="0" w:color="000000"/>
              <w:right w:val="single" w:sz="8" w:space="0" w:color="000000"/>
            </w:tcBorders>
            <w:shd w:val="clear" w:color="auto" w:fill="auto"/>
            <w:hideMark/>
          </w:tcPr>
          <w:p w14:paraId="47E12FB2"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r>
      <w:tr w:rsidR="005E57A9" w:rsidRPr="00071830" w14:paraId="1B55FFE1" w14:textId="77777777" w:rsidTr="006E2DBD">
        <w:tblPrEx>
          <w:jc w:val="left"/>
          <w:tblCellMar>
            <w:left w:w="108" w:type="dxa"/>
            <w:right w:w="108" w:type="dxa"/>
          </w:tblCellMar>
        </w:tblPrEx>
        <w:trPr>
          <w:gridAfter w:val="1"/>
          <w:wAfter w:w="497" w:type="dxa"/>
          <w:trHeight w:hRule="exact" w:val="765"/>
        </w:trPr>
        <w:tc>
          <w:tcPr>
            <w:tcW w:w="1233" w:type="dxa"/>
            <w:gridSpan w:val="3"/>
            <w:vMerge w:val="restart"/>
            <w:tcBorders>
              <w:top w:val="nil"/>
              <w:left w:val="single" w:sz="8" w:space="0" w:color="000000"/>
              <w:bottom w:val="single" w:sz="8" w:space="0" w:color="000000"/>
              <w:right w:val="single" w:sz="8" w:space="0" w:color="000000"/>
            </w:tcBorders>
            <w:shd w:val="clear" w:color="auto" w:fill="auto"/>
            <w:vAlign w:val="center"/>
            <w:hideMark/>
          </w:tcPr>
          <w:p w14:paraId="16B2BD9B"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2.</w:t>
            </w:r>
          </w:p>
        </w:tc>
        <w:tc>
          <w:tcPr>
            <w:tcW w:w="8373" w:type="dxa"/>
            <w:gridSpan w:val="5"/>
            <w:tcBorders>
              <w:top w:val="single" w:sz="8" w:space="0" w:color="000000"/>
              <w:left w:val="nil"/>
              <w:bottom w:val="single" w:sz="8" w:space="0" w:color="000000"/>
              <w:right w:val="single" w:sz="8" w:space="0" w:color="000000"/>
            </w:tcBorders>
            <w:shd w:val="clear" w:color="000000" w:fill="D8D8D8"/>
            <w:vAlign w:val="center"/>
            <w:hideMark/>
          </w:tcPr>
          <w:p w14:paraId="6220B1E8"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zCs w:val="22"/>
                <w:lang w:val="el-GR" w:eastAsia="el-GR"/>
              </w:rPr>
              <w:t>Λοιπά κόστη (μηνιαία) (Ονοματίστε κατά περίπτωση)</w:t>
            </w:r>
          </w:p>
        </w:tc>
      </w:tr>
      <w:tr w:rsidR="005E57A9" w:rsidRPr="00FF329E" w14:paraId="0A7BC539" w14:textId="77777777" w:rsidTr="006E2DBD">
        <w:tblPrEx>
          <w:jc w:val="left"/>
          <w:tblCellMar>
            <w:left w:w="108" w:type="dxa"/>
            <w:right w:w="108" w:type="dxa"/>
          </w:tblCellMar>
        </w:tblPrEx>
        <w:trPr>
          <w:gridAfter w:val="1"/>
          <w:wAfter w:w="497" w:type="dxa"/>
          <w:trHeight w:val="330"/>
        </w:trPr>
        <w:tc>
          <w:tcPr>
            <w:tcW w:w="1233" w:type="dxa"/>
            <w:gridSpan w:val="3"/>
            <w:vMerge/>
            <w:tcBorders>
              <w:top w:val="nil"/>
              <w:left w:val="single" w:sz="8" w:space="0" w:color="000000"/>
              <w:bottom w:val="single" w:sz="8" w:space="0" w:color="000000"/>
              <w:right w:val="single" w:sz="8" w:space="0" w:color="000000"/>
            </w:tcBorders>
            <w:vAlign w:val="center"/>
            <w:hideMark/>
          </w:tcPr>
          <w:p w14:paraId="4D46121C"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14319EEE"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zCs w:val="22"/>
                <w:lang w:val="el-GR" w:eastAsia="el-GR"/>
              </w:rPr>
              <w:t>α)</w:t>
            </w:r>
          </w:p>
        </w:tc>
        <w:tc>
          <w:tcPr>
            <w:tcW w:w="6203" w:type="dxa"/>
            <w:gridSpan w:val="3"/>
            <w:tcBorders>
              <w:top w:val="nil"/>
              <w:left w:val="nil"/>
              <w:bottom w:val="single" w:sz="8" w:space="0" w:color="000000"/>
              <w:right w:val="single" w:sz="8" w:space="0" w:color="000000"/>
            </w:tcBorders>
            <w:shd w:val="clear" w:color="auto" w:fill="auto"/>
            <w:hideMark/>
          </w:tcPr>
          <w:p w14:paraId="4EAAD35F"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FF329E" w14:paraId="78C170EA" w14:textId="77777777" w:rsidTr="006E2DBD">
        <w:tblPrEx>
          <w:jc w:val="left"/>
          <w:tblCellMar>
            <w:left w:w="108" w:type="dxa"/>
            <w:right w:w="108" w:type="dxa"/>
          </w:tblCellMar>
        </w:tblPrEx>
        <w:trPr>
          <w:gridAfter w:val="1"/>
          <w:wAfter w:w="497" w:type="dxa"/>
          <w:trHeight w:val="330"/>
        </w:trPr>
        <w:tc>
          <w:tcPr>
            <w:tcW w:w="1233" w:type="dxa"/>
            <w:gridSpan w:val="3"/>
            <w:vMerge/>
            <w:tcBorders>
              <w:top w:val="nil"/>
              <w:left w:val="single" w:sz="8" w:space="0" w:color="000000"/>
              <w:bottom w:val="single" w:sz="8" w:space="0" w:color="000000"/>
              <w:right w:val="single" w:sz="8" w:space="0" w:color="000000"/>
            </w:tcBorders>
            <w:vAlign w:val="center"/>
            <w:hideMark/>
          </w:tcPr>
          <w:p w14:paraId="4949C9CA"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2ECF190F"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pacing w:val="-2"/>
                <w:szCs w:val="22"/>
                <w:lang w:val="el-GR" w:eastAsia="el-GR"/>
              </w:rPr>
              <w:t>β)</w:t>
            </w:r>
          </w:p>
        </w:tc>
        <w:tc>
          <w:tcPr>
            <w:tcW w:w="6203" w:type="dxa"/>
            <w:gridSpan w:val="3"/>
            <w:tcBorders>
              <w:top w:val="nil"/>
              <w:left w:val="nil"/>
              <w:bottom w:val="single" w:sz="8" w:space="0" w:color="000000"/>
              <w:right w:val="single" w:sz="8" w:space="0" w:color="000000"/>
            </w:tcBorders>
            <w:shd w:val="clear" w:color="auto" w:fill="auto"/>
            <w:hideMark/>
          </w:tcPr>
          <w:p w14:paraId="5A0123A6"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FF329E" w14:paraId="144B74B1" w14:textId="77777777" w:rsidTr="006E2DBD">
        <w:tblPrEx>
          <w:jc w:val="left"/>
          <w:tblCellMar>
            <w:left w:w="108" w:type="dxa"/>
            <w:right w:w="108" w:type="dxa"/>
          </w:tblCellMar>
        </w:tblPrEx>
        <w:trPr>
          <w:gridAfter w:val="1"/>
          <w:wAfter w:w="497" w:type="dxa"/>
          <w:trHeight w:val="330"/>
        </w:trPr>
        <w:tc>
          <w:tcPr>
            <w:tcW w:w="1233" w:type="dxa"/>
            <w:gridSpan w:val="3"/>
            <w:vMerge/>
            <w:tcBorders>
              <w:top w:val="nil"/>
              <w:left w:val="single" w:sz="8" w:space="0" w:color="000000"/>
              <w:bottom w:val="single" w:sz="8" w:space="0" w:color="000000"/>
              <w:right w:val="single" w:sz="8" w:space="0" w:color="000000"/>
            </w:tcBorders>
            <w:vAlign w:val="center"/>
            <w:hideMark/>
          </w:tcPr>
          <w:p w14:paraId="3015CA81"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4F067654"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zCs w:val="22"/>
                <w:lang w:val="el-GR" w:eastAsia="el-GR"/>
              </w:rPr>
              <w:t>…</w:t>
            </w:r>
          </w:p>
        </w:tc>
        <w:tc>
          <w:tcPr>
            <w:tcW w:w="6203" w:type="dxa"/>
            <w:gridSpan w:val="3"/>
            <w:tcBorders>
              <w:top w:val="nil"/>
              <w:left w:val="nil"/>
              <w:bottom w:val="single" w:sz="8" w:space="0" w:color="000000"/>
              <w:right w:val="single" w:sz="8" w:space="0" w:color="000000"/>
            </w:tcBorders>
            <w:shd w:val="clear" w:color="auto" w:fill="auto"/>
            <w:hideMark/>
          </w:tcPr>
          <w:p w14:paraId="45F64896"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FF329E" w14:paraId="549992FB" w14:textId="77777777" w:rsidTr="006E2DBD">
        <w:tblPrEx>
          <w:jc w:val="left"/>
          <w:tblCellMar>
            <w:left w:w="108" w:type="dxa"/>
            <w:right w:w="108" w:type="dxa"/>
          </w:tblCellMar>
        </w:tblPrEx>
        <w:trPr>
          <w:gridAfter w:val="1"/>
          <w:wAfter w:w="497" w:type="dxa"/>
          <w:trHeight w:val="330"/>
        </w:trPr>
        <w:tc>
          <w:tcPr>
            <w:tcW w:w="1233" w:type="dxa"/>
            <w:gridSpan w:val="3"/>
            <w:vMerge/>
            <w:tcBorders>
              <w:top w:val="nil"/>
              <w:left w:val="single" w:sz="8" w:space="0" w:color="000000"/>
              <w:bottom w:val="single" w:sz="8" w:space="0" w:color="000000"/>
              <w:right w:val="single" w:sz="8" w:space="0" w:color="000000"/>
            </w:tcBorders>
            <w:vAlign w:val="center"/>
            <w:hideMark/>
          </w:tcPr>
          <w:p w14:paraId="2DC867BE"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p>
        </w:tc>
        <w:tc>
          <w:tcPr>
            <w:tcW w:w="960" w:type="dxa"/>
            <w:tcBorders>
              <w:top w:val="nil"/>
              <w:left w:val="nil"/>
              <w:bottom w:val="single" w:sz="8" w:space="0" w:color="000000"/>
              <w:right w:val="nil"/>
            </w:tcBorders>
            <w:shd w:val="clear" w:color="auto" w:fill="auto"/>
            <w:vAlign w:val="bottom"/>
            <w:hideMark/>
          </w:tcPr>
          <w:p w14:paraId="7C40BBC3"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c>
          <w:tcPr>
            <w:tcW w:w="1210" w:type="dxa"/>
            <w:tcBorders>
              <w:top w:val="nil"/>
              <w:left w:val="nil"/>
              <w:bottom w:val="single" w:sz="8" w:space="0" w:color="000000"/>
              <w:right w:val="single" w:sz="8" w:space="0" w:color="000000"/>
            </w:tcBorders>
            <w:shd w:val="clear" w:color="auto" w:fill="auto"/>
            <w:vAlign w:val="bottom"/>
            <w:hideMark/>
          </w:tcPr>
          <w:p w14:paraId="5A701C94"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c>
          <w:tcPr>
            <w:tcW w:w="6203" w:type="dxa"/>
            <w:gridSpan w:val="3"/>
            <w:tcBorders>
              <w:top w:val="nil"/>
              <w:left w:val="nil"/>
              <w:bottom w:val="single" w:sz="8" w:space="0" w:color="000000"/>
              <w:right w:val="single" w:sz="8" w:space="0" w:color="000000"/>
            </w:tcBorders>
            <w:shd w:val="clear" w:color="auto" w:fill="auto"/>
            <w:hideMark/>
          </w:tcPr>
          <w:p w14:paraId="1A05339B"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r>
      <w:tr w:rsidR="005E57A9" w:rsidRPr="00FF329E" w14:paraId="346C8F80" w14:textId="77777777" w:rsidTr="006E2DBD">
        <w:tblPrEx>
          <w:jc w:val="left"/>
          <w:tblCellMar>
            <w:left w:w="108" w:type="dxa"/>
            <w:right w:w="108" w:type="dxa"/>
          </w:tblCellMar>
        </w:tblPrEx>
        <w:trPr>
          <w:gridAfter w:val="1"/>
          <w:wAfter w:w="497" w:type="dxa"/>
          <w:trHeight w:hRule="exact" w:val="950"/>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22A88093"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3.</w:t>
            </w: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355955A1"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pacing w:val="-1"/>
                <w:szCs w:val="22"/>
                <w:lang w:val="el-GR" w:eastAsia="el-GR"/>
              </w:rPr>
              <w:t>διοικητικό κόστος (μηνιαίο)</w:t>
            </w:r>
          </w:p>
        </w:tc>
        <w:tc>
          <w:tcPr>
            <w:tcW w:w="6203" w:type="dxa"/>
            <w:gridSpan w:val="3"/>
            <w:tcBorders>
              <w:top w:val="nil"/>
              <w:left w:val="nil"/>
              <w:bottom w:val="single" w:sz="8" w:space="0" w:color="000000"/>
              <w:right w:val="single" w:sz="8" w:space="0" w:color="000000"/>
            </w:tcBorders>
            <w:shd w:val="clear" w:color="auto" w:fill="auto"/>
            <w:hideMark/>
          </w:tcPr>
          <w:p w14:paraId="3F36CD3E"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FF329E" w14:paraId="68358F5B" w14:textId="77777777" w:rsidTr="006E2DBD">
        <w:tblPrEx>
          <w:jc w:val="left"/>
          <w:tblCellMar>
            <w:left w:w="108" w:type="dxa"/>
            <w:right w:w="108" w:type="dxa"/>
          </w:tblCellMar>
        </w:tblPrEx>
        <w:trPr>
          <w:gridAfter w:val="1"/>
          <w:wAfter w:w="497" w:type="dxa"/>
          <w:trHeight w:hRule="exact" w:val="871"/>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43CA0262"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4.</w:t>
            </w: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37CA3E1F"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pacing w:val="-1"/>
                <w:szCs w:val="22"/>
                <w:lang w:val="el-GR" w:eastAsia="el-GR"/>
              </w:rPr>
              <w:t>Εργολαβικό κέρδος (μηνιαίο)</w:t>
            </w:r>
          </w:p>
        </w:tc>
        <w:tc>
          <w:tcPr>
            <w:tcW w:w="6203" w:type="dxa"/>
            <w:gridSpan w:val="3"/>
            <w:tcBorders>
              <w:top w:val="nil"/>
              <w:left w:val="nil"/>
              <w:bottom w:val="single" w:sz="8" w:space="0" w:color="000000"/>
              <w:right w:val="single" w:sz="8" w:space="0" w:color="000000"/>
            </w:tcBorders>
            <w:shd w:val="clear" w:color="auto" w:fill="auto"/>
            <w:hideMark/>
          </w:tcPr>
          <w:p w14:paraId="64BE00E7"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071830" w14:paraId="68532363" w14:textId="77777777" w:rsidTr="006E2DBD">
        <w:tblPrEx>
          <w:jc w:val="left"/>
          <w:tblCellMar>
            <w:left w:w="108" w:type="dxa"/>
            <w:right w:w="108" w:type="dxa"/>
          </w:tblCellMar>
        </w:tblPrEx>
        <w:trPr>
          <w:gridAfter w:val="1"/>
          <w:wAfter w:w="497" w:type="dxa"/>
          <w:trHeight w:hRule="exact" w:val="765"/>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69C99669"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lastRenderedPageBreak/>
              <w:t>5.</w:t>
            </w: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759C19C0" w14:textId="77777777" w:rsidR="005E57A9" w:rsidRPr="00FF329E" w:rsidRDefault="005E57A9" w:rsidP="006E2DBD">
            <w:pPr>
              <w:suppressAutoHyphens w:val="0"/>
              <w:spacing w:after="0" w:line="360" w:lineRule="auto"/>
              <w:jc w:val="left"/>
              <w:rPr>
                <w:rFonts w:ascii="Cambria" w:hAnsi="Cambria" w:cs="Verdana"/>
                <w:color w:val="000000"/>
                <w:spacing w:val="1"/>
                <w:lang w:val="el-GR" w:eastAsia="el-GR"/>
              </w:rPr>
            </w:pPr>
            <w:r w:rsidRPr="00FF329E">
              <w:rPr>
                <w:rFonts w:ascii="Cambria" w:hAnsi="Cambria" w:cs="Verdana"/>
                <w:color w:val="000000"/>
                <w:spacing w:val="1"/>
                <w:szCs w:val="22"/>
                <w:lang w:val="el-GR" w:eastAsia="el-GR"/>
              </w:rPr>
              <w:t>Κόστος νόμιμων υπέρ δημοσίου και τρίτων κρατήσεων (μηνιαίο)</w:t>
            </w:r>
          </w:p>
        </w:tc>
        <w:tc>
          <w:tcPr>
            <w:tcW w:w="6203" w:type="dxa"/>
            <w:gridSpan w:val="3"/>
            <w:tcBorders>
              <w:top w:val="nil"/>
              <w:left w:val="nil"/>
              <w:bottom w:val="single" w:sz="8" w:space="0" w:color="000000"/>
              <w:right w:val="single" w:sz="8" w:space="0" w:color="000000"/>
            </w:tcBorders>
            <w:shd w:val="clear" w:color="auto" w:fill="auto"/>
            <w:hideMark/>
          </w:tcPr>
          <w:p w14:paraId="0094D244"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r>
      <w:tr w:rsidR="005E57A9" w:rsidRPr="00FF329E" w14:paraId="1E2DA877" w14:textId="77777777" w:rsidTr="006E2DBD">
        <w:tblPrEx>
          <w:jc w:val="left"/>
          <w:tblCellMar>
            <w:left w:w="108" w:type="dxa"/>
            <w:right w:w="108" w:type="dxa"/>
          </w:tblCellMar>
        </w:tblPrEx>
        <w:trPr>
          <w:gridAfter w:val="1"/>
          <w:wAfter w:w="497" w:type="dxa"/>
          <w:trHeight w:hRule="exact" w:val="330"/>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58817F01"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7AF24032" w14:textId="77777777" w:rsidR="005E57A9" w:rsidRPr="00FF329E" w:rsidRDefault="005E57A9" w:rsidP="006E2DBD">
            <w:pPr>
              <w:suppressAutoHyphens w:val="0"/>
              <w:spacing w:after="0" w:line="360" w:lineRule="auto"/>
              <w:jc w:val="left"/>
              <w:rPr>
                <w:rFonts w:ascii="Cambria" w:hAnsi="Cambria" w:cs="Verdana"/>
                <w:b/>
                <w:bCs/>
                <w:color w:val="000000"/>
                <w:w w:val="95"/>
                <w:lang w:val="el-GR" w:eastAsia="el-GR"/>
              </w:rPr>
            </w:pPr>
            <w:r w:rsidRPr="00FF329E">
              <w:rPr>
                <w:rFonts w:ascii="Cambria" w:hAnsi="Cambria" w:cs="Verdana"/>
                <w:b/>
                <w:bCs/>
                <w:color w:val="000000"/>
                <w:w w:val="95"/>
                <w:szCs w:val="22"/>
                <w:lang w:val="el-GR" w:eastAsia="el-GR"/>
              </w:rPr>
              <w:t>Σύνολο</w:t>
            </w:r>
          </w:p>
        </w:tc>
        <w:tc>
          <w:tcPr>
            <w:tcW w:w="6203" w:type="dxa"/>
            <w:gridSpan w:val="3"/>
            <w:tcBorders>
              <w:top w:val="nil"/>
              <w:left w:val="nil"/>
              <w:bottom w:val="single" w:sz="8" w:space="0" w:color="000000"/>
              <w:right w:val="single" w:sz="8" w:space="0" w:color="000000"/>
            </w:tcBorders>
            <w:shd w:val="clear" w:color="auto" w:fill="auto"/>
            <w:hideMark/>
          </w:tcPr>
          <w:p w14:paraId="3A95C184" w14:textId="77777777" w:rsidR="005E57A9" w:rsidRPr="00FF329E" w:rsidRDefault="005E57A9" w:rsidP="006E2DBD">
            <w:pPr>
              <w:suppressAutoHyphens w:val="0"/>
              <w:spacing w:after="0" w:line="360" w:lineRule="auto"/>
              <w:jc w:val="left"/>
              <w:rPr>
                <w:rFonts w:ascii="Cambria" w:hAnsi="Cambria" w:cs="Times New Roman"/>
                <w:color w:val="000000"/>
                <w:lang w:eastAsia="el-GR"/>
              </w:rPr>
            </w:pPr>
          </w:p>
        </w:tc>
      </w:tr>
      <w:tr w:rsidR="005E57A9" w:rsidRPr="00FF329E" w14:paraId="3B160B78" w14:textId="77777777" w:rsidTr="006E2DBD">
        <w:tblPrEx>
          <w:jc w:val="left"/>
          <w:tblCellMar>
            <w:left w:w="108" w:type="dxa"/>
            <w:right w:w="108" w:type="dxa"/>
          </w:tblCellMar>
        </w:tblPrEx>
        <w:trPr>
          <w:gridAfter w:val="1"/>
          <w:wAfter w:w="497" w:type="dxa"/>
          <w:trHeight w:hRule="exact" w:val="765"/>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58A4A9F5"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6.</w:t>
            </w: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4018F5D8"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zCs w:val="22"/>
                <w:lang w:val="el-GR" w:eastAsia="el-GR"/>
              </w:rPr>
              <w:t>Αριθμός απασχολούμενων ατόμων</w:t>
            </w:r>
          </w:p>
        </w:tc>
        <w:tc>
          <w:tcPr>
            <w:tcW w:w="6203" w:type="dxa"/>
            <w:gridSpan w:val="3"/>
            <w:tcBorders>
              <w:top w:val="nil"/>
              <w:left w:val="nil"/>
              <w:bottom w:val="single" w:sz="8" w:space="0" w:color="000000"/>
              <w:right w:val="single" w:sz="8" w:space="0" w:color="000000"/>
            </w:tcBorders>
            <w:shd w:val="clear" w:color="auto" w:fill="auto"/>
            <w:hideMark/>
          </w:tcPr>
          <w:p w14:paraId="189C3125"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FF329E" w14:paraId="0F3A8A58" w14:textId="77777777" w:rsidTr="006E2DBD">
        <w:tblPrEx>
          <w:jc w:val="left"/>
          <w:tblCellMar>
            <w:left w:w="108" w:type="dxa"/>
            <w:right w:w="108" w:type="dxa"/>
          </w:tblCellMar>
        </w:tblPrEx>
        <w:trPr>
          <w:gridAfter w:val="1"/>
          <w:wAfter w:w="497" w:type="dxa"/>
          <w:trHeight w:hRule="exact" w:val="871"/>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57C2C8D1"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7.</w:t>
            </w: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669EEC0A"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pacing w:val="-1"/>
                <w:szCs w:val="22"/>
                <w:lang w:val="el-GR" w:eastAsia="el-GR"/>
              </w:rPr>
              <w:t>Ημέρες και ώρες εργασίας</w:t>
            </w:r>
          </w:p>
        </w:tc>
        <w:tc>
          <w:tcPr>
            <w:tcW w:w="6203" w:type="dxa"/>
            <w:gridSpan w:val="3"/>
            <w:tcBorders>
              <w:top w:val="nil"/>
              <w:left w:val="nil"/>
              <w:bottom w:val="single" w:sz="8" w:space="0" w:color="000000"/>
              <w:right w:val="single" w:sz="8" w:space="0" w:color="000000"/>
            </w:tcBorders>
            <w:shd w:val="clear" w:color="auto" w:fill="auto"/>
            <w:hideMark/>
          </w:tcPr>
          <w:p w14:paraId="79D22DF8"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eastAsia="el-GR"/>
              </w:rPr>
              <w:t> </w:t>
            </w:r>
          </w:p>
        </w:tc>
      </w:tr>
      <w:tr w:rsidR="005E57A9" w:rsidRPr="00071830" w14:paraId="3BC878B5" w14:textId="77777777" w:rsidTr="006E2DBD">
        <w:tblPrEx>
          <w:jc w:val="left"/>
          <w:tblCellMar>
            <w:left w:w="108" w:type="dxa"/>
            <w:right w:w="108" w:type="dxa"/>
          </w:tblCellMar>
        </w:tblPrEx>
        <w:trPr>
          <w:gridAfter w:val="1"/>
          <w:wAfter w:w="497" w:type="dxa"/>
          <w:trHeight w:hRule="exact" w:val="1847"/>
        </w:trPr>
        <w:tc>
          <w:tcPr>
            <w:tcW w:w="1233" w:type="dxa"/>
            <w:gridSpan w:val="3"/>
            <w:tcBorders>
              <w:top w:val="nil"/>
              <w:left w:val="single" w:sz="8" w:space="0" w:color="000000"/>
              <w:bottom w:val="single" w:sz="8" w:space="0" w:color="000000"/>
              <w:right w:val="single" w:sz="8" w:space="0" w:color="000000"/>
            </w:tcBorders>
            <w:shd w:val="clear" w:color="auto" w:fill="auto"/>
            <w:vAlign w:val="bottom"/>
            <w:hideMark/>
          </w:tcPr>
          <w:p w14:paraId="53DA0033" w14:textId="77777777" w:rsidR="005E57A9" w:rsidRPr="00FF329E" w:rsidRDefault="005E57A9" w:rsidP="006E2DBD">
            <w:pPr>
              <w:suppressAutoHyphens w:val="0"/>
              <w:spacing w:after="0" w:line="360" w:lineRule="auto"/>
              <w:jc w:val="center"/>
              <w:rPr>
                <w:rFonts w:ascii="Cambria" w:hAnsi="Cambria" w:cs="Times New Roman"/>
                <w:color w:val="000000"/>
                <w:lang w:val="el-GR" w:eastAsia="el-GR"/>
              </w:rPr>
            </w:pPr>
            <w:r w:rsidRPr="00FF329E">
              <w:rPr>
                <w:rFonts w:ascii="Cambria" w:hAnsi="Cambria" w:cs="Verdana"/>
                <w:color w:val="000000"/>
                <w:szCs w:val="22"/>
                <w:lang w:val="el-GR" w:eastAsia="el-GR"/>
              </w:rPr>
              <w:t>8.</w:t>
            </w:r>
          </w:p>
        </w:tc>
        <w:tc>
          <w:tcPr>
            <w:tcW w:w="2170" w:type="dxa"/>
            <w:gridSpan w:val="2"/>
            <w:tcBorders>
              <w:top w:val="single" w:sz="8" w:space="0" w:color="000000"/>
              <w:left w:val="nil"/>
              <w:bottom w:val="single" w:sz="8" w:space="0" w:color="000000"/>
              <w:right w:val="single" w:sz="8" w:space="0" w:color="000000"/>
            </w:tcBorders>
            <w:shd w:val="clear" w:color="auto" w:fill="auto"/>
            <w:vAlign w:val="bottom"/>
            <w:hideMark/>
          </w:tcPr>
          <w:p w14:paraId="6D468123"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Verdana"/>
                <w:color w:val="000000"/>
                <w:szCs w:val="22"/>
                <w:lang w:val="el-GR" w:eastAsia="el-GR"/>
              </w:rPr>
              <w:t>Συλλογική σύμβαση εργασίας στην οποία τυχόν υπάγονται οι εργαζόμενοι</w:t>
            </w:r>
          </w:p>
        </w:tc>
        <w:tc>
          <w:tcPr>
            <w:tcW w:w="6203" w:type="dxa"/>
            <w:gridSpan w:val="3"/>
            <w:tcBorders>
              <w:top w:val="nil"/>
              <w:left w:val="nil"/>
              <w:bottom w:val="single" w:sz="8" w:space="0" w:color="000000"/>
              <w:right w:val="single" w:sz="8" w:space="0" w:color="000000"/>
            </w:tcBorders>
            <w:shd w:val="clear" w:color="auto" w:fill="auto"/>
            <w:hideMark/>
          </w:tcPr>
          <w:p w14:paraId="44D50909" w14:textId="77777777" w:rsidR="005E57A9" w:rsidRPr="00FF329E" w:rsidRDefault="005E57A9" w:rsidP="006E2DBD">
            <w:pPr>
              <w:suppressAutoHyphens w:val="0"/>
              <w:spacing w:after="0" w:line="360" w:lineRule="auto"/>
              <w:jc w:val="left"/>
              <w:rPr>
                <w:rFonts w:ascii="Cambria" w:hAnsi="Cambria" w:cs="Times New Roman"/>
                <w:color w:val="000000"/>
                <w:lang w:val="el-GR" w:eastAsia="el-GR"/>
              </w:rPr>
            </w:pPr>
            <w:r w:rsidRPr="00FF329E">
              <w:rPr>
                <w:rFonts w:ascii="Cambria" w:hAnsi="Cambria" w:cs="Times New Roman"/>
                <w:color w:val="000000"/>
                <w:szCs w:val="22"/>
                <w:lang w:val="el-GR" w:eastAsia="el-GR"/>
              </w:rPr>
              <w:t> </w:t>
            </w:r>
          </w:p>
        </w:tc>
      </w:tr>
      <w:tr w:rsidR="005E57A9" w:rsidRPr="00FF329E" w14:paraId="0863F5C6" w14:textId="77777777" w:rsidTr="006E2DBD">
        <w:tblPrEx>
          <w:jc w:val="left"/>
          <w:tblCellMar>
            <w:left w:w="108" w:type="dxa"/>
            <w:right w:w="108" w:type="dxa"/>
          </w:tblCellMar>
        </w:tblPrEx>
        <w:trPr>
          <w:gridBefore w:val="1"/>
          <w:gridAfter w:val="2"/>
          <w:wBefore w:w="459" w:type="dxa"/>
          <w:wAfter w:w="1154" w:type="dxa"/>
        </w:trPr>
        <w:tc>
          <w:tcPr>
            <w:tcW w:w="4325" w:type="dxa"/>
            <w:gridSpan w:val="5"/>
            <w:shd w:val="clear" w:color="auto" w:fill="auto"/>
          </w:tcPr>
          <w:p w14:paraId="14CB9AD0" w14:textId="77777777" w:rsidR="005E57A9" w:rsidRPr="00FF329E" w:rsidRDefault="005E57A9" w:rsidP="006E2DBD">
            <w:pPr>
              <w:pStyle w:val="3"/>
              <w:tabs>
                <w:tab w:val="right" w:leader="dot" w:pos="8460"/>
              </w:tabs>
              <w:spacing w:line="360" w:lineRule="auto"/>
              <w:ind w:left="0"/>
              <w:rPr>
                <w:rFonts w:ascii="Cambria" w:hAnsi="Cambria" w:cs="Tahoma"/>
                <w:sz w:val="22"/>
                <w:szCs w:val="22"/>
                <w:highlight w:val="yellow"/>
                <w:lang w:val="el-GR"/>
              </w:rPr>
            </w:pPr>
            <w:r w:rsidRPr="00FF329E">
              <w:rPr>
                <w:rFonts w:ascii="Cambria" w:hAnsi="Cambria" w:cs="Tahoma"/>
                <w:sz w:val="22"/>
                <w:szCs w:val="22"/>
                <w:lang w:val="el-GR"/>
              </w:rPr>
              <w:t>Ημερομηνία:</w:t>
            </w:r>
          </w:p>
        </w:tc>
        <w:tc>
          <w:tcPr>
            <w:tcW w:w="4165" w:type="dxa"/>
            <w:shd w:val="clear" w:color="auto" w:fill="auto"/>
          </w:tcPr>
          <w:p w14:paraId="61FED5FB" w14:textId="77777777" w:rsidR="005E57A9" w:rsidRPr="00FF329E" w:rsidRDefault="005E57A9" w:rsidP="006E2DBD">
            <w:pPr>
              <w:pStyle w:val="3"/>
              <w:tabs>
                <w:tab w:val="right" w:leader="dot" w:pos="8460"/>
              </w:tabs>
              <w:spacing w:line="360" w:lineRule="auto"/>
              <w:ind w:left="66"/>
              <w:jc w:val="center"/>
              <w:rPr>
                <w:rFonts w:ascii="Cambria" w:hAnsi="Cambria" w:cs="Tahoma"/>
                <w:sz w:val="22"/>
                <w:szCs w:val="22"/>
                <w:highlight w:val="yellow"/>
                <w:lang w:val="en-US"/>
              </w:rPr>
            </w:pPr>
            <w:r w:rsidRPr="00FF329E">
              <w:rPr>
                <w:rFonts w:ascii="Cambria" w:hAnsi="Cambria" w:cs="Tahoma"/>
                <w:sz w:val="22"/>
                <w:szCs w:val="22"/>
                <w:lang w:val="el-GR"/>
              </w:rPr>
              <w:t>Για τον Διαγωνιζόμενο</w:t>
            </w:r>
          </w:p>
        </w:tc>
      </w:tr>
      <w:tr w:rsidR="005E57A9" w:rsidRPr="00FF329E" w14:paraId="732F845D" w14:textId="77777777" w:rsidTr="006E2DBD">
        <w:tblPrEx>
          <w:jc w:val="left"/>
          <w:tblCellMar>
            <w:left w:w="108" w:type="dxa"/>
            <w:right w:w="108" w:type="dxa"/>
          </w:tblCellMar>
        </w:tblPrEx>
        <w:trPr>
          <w:gridBefore w:val="1"/>
          <w:gridAfter w:val="2"/>
          <w:wBefore w:w="459" w:type="dxa"/>
          <w:wAfter w:w="1154" w:type="dxa"/>
        </w:trPr>
        <w:tc>
          <w:tcPr>
            <w:tcW w:w="4325" w:type="dxa"/>
            <w:gridSpan w:val="5"/>
            <w:shd w:val="clear" w:color="auto" w:fill="auto"/>
          </w:tcPr>
          <w:p w14:paraId="7DD85C81" w14:textId="77777777" w:rsidR="005E57A9" w:rsidRPr="00FF329E" w:rsidRDefault="005E57A9" w:rsidP="006E2DBD">
            <w:pPr>
              <w:pStyle w:val="3"/>
              <w:tabs>
                <w:tab w:val="right" w:leader="dot" w:pos="8460"/>
              </w:tabs>
              <w:spacing w:line="360" w:lineRule="auto"/>
              <w:ind w:left="0"/>
              <w:rPr>
                <w:rFonts w:ascii="Cambria" w:hAnsi="Cambria" w:cs="Tahoma"/>
                <w:sz w:val="22"/>
                <w:szCs w:val="22"/>
                <w:highlight w:val="yellow"/>
                <w:lang w:val="el-GR"/>
              </w:rPr>
            </w:pPr>
          </w:p>
        </w:tc>
        <w:tc>
          <w:tcPr>
            <w:tcW w:w="4165" w:type="dxa"/>
            <w:shd w:val="clear" w:color="auto" w:fill="auto"/>
          </w:tcPr>
          <w:p w14:paraId="7061CE2D" w14:textId="77777777" w:rsidR="005E57A9" w:rsidRPr="00FF329E" w:rsidRDefault="005E57A9" w:rsidP="006E2DBD">
            <w:pPr>
              <w:pStyle w:val="3"/>
              <w:tabs>
                <w:tab w:val="right" w:leader="dot" w:pos="8460"/>
              </w:tabs>
              <w:spacing w:line="360" w:lineRule="auto"/>
              <w:ind w:left="0"/>
              <w:jc w:val="center"/>
              <w:rPr>
                <w:rFonts w:ascii="Cambria" w:hAnsi="Cambria" w:cs="Tahoma"/>
                <w:sz w:val="22"/>
                <w:szCs w:val="22"/>
                <w:highlight w:val="yellow"/>
                <w:lang w:val="el-GR"/>
              </w:rPr>
            </w:pPr>
            <w:r w:rsidRPr="00FF329E">
              <w:rPr>
                <w:rFonts w:ascii="Cambria" w:hAnsi="Cambria" w:cs="Tahoma"/>
                <w:sz w:val="22"/>
                <w:szCs w:val="22"/>
                <w:lang w:val="el-GR"/>
              </w:rPr>
              <w:t>Ονοματεπώνυμο – Υπογραφή – Σφραγίδα</w:t>
            </w:r>
          </w:p>
        </w:tc>
      </w:tr>
    </w:tbl>
    <w:p w14:paraId="00F5D2E8" w14:textId="77777777" w:rsidR="005E57A9" w:rsidRPr="00FF329E" w:rsidRDefault="005E57A9" w:rsidP="005E57A9">
      <w:pPr>
        <w:pStyle w:val="3"/>
        <w:tabs>
          <w:tab w:val="right" w:leader="dot" w:pos="8460"/>
        </w:tabs>
        <w:spacing w:line="360" w:lineRule="auto"/>
        <w:rPr>
          <w:rFonts w:ascii="Cambria" w:hAnsi="Cambria" w:cs="Tahoma"/>
          <w:sz w:val="22"/>
          <w:szCs w:val="22"/>
          <w:highlight w:val="yellow"/>
          <w:lang w:val="el-GR"/>
        </w:rPr>
      </w:pPr>
    </w:p>
    <w:p w14:paraId="71A8D024" w14:textId="77777777" w:rsidR="005E57A9" w:rsidRPr="00FF329E" w:rsidRDefault="005E57A9" w:rsidP="005E57A9">
      <w:pPr>
        <w:suppressAutoHyphens w:val="0"/>
        <w:spacing w:after="0" w:line="360" w:lineRule="auto"/>
        <w:rPr>
          <w:rFonts w:ascii="Cambria" w:hAnsi="Cambria"/>
          <w:szCs w:val="22"/>
          <w:lang w:val="el-GR"/>
        </w:rPr>
      </w:pPr>
      <w:r w:rsidRPr="00FF329E">
        <w:rPr>
          <w:rFonts w:ascii="Cambria" w:hAnsi="Cambria"/>
          <w:szCs w:val="22"/>
          <w:lang w:val="el-GR"/>
        </w:rPr>
        <w:t>* Οι υποψήφιοι σε ξεχωριστό πίνακα θα πρέπει να παρουσιάσουν βάσει του Ν. 3863/2010, άρθρο 68 («Συμβάσεις εργολαβίας εταιρειών παροχής υπηρεσιών») όπως τροποποιήθηκε και ισχύει με το άρθρο 22 του ν. 4144/13 (ΦΕΚ 88/τ.Α/18-4-2013), σε χωριστό κεφάλαιο της οικονομικής προσφοράς τα κάτωθι στοιχεία:</w:t>
      </w:r>
    </w:p>
    <w:p w14:paraId="7445E851"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1) Τον αριθμό των εργαζομένων που θα απασχοληθούν στο έργο.</w:t>
      </w:r>
    </w:p>
    <w:p w14:paraId="38EE5EBE"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2) Τις ημέρες και τις ώρες εργασίας.</w:t>
      </w:r>
    </w:p>
    <w:p w14:paraId="2BB5677B"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3) Τη συλλογική σύμβαση εργασίας στην οποία τυχόν υπάγονται οι εργαζόμενοι (την οποία θα υποβάλλουν ΗΛΕΚΤΡΟΝΙΚΑ στο σύστημα και θα προσκομίσουν σε αντίγραφο)</w:t>
      </w:r>
    </w:p>
    <w:p w14:paraId="694FA5F5"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4) Το ύψος του προϋπολογισμένου ποσού που αφορά τις πάσης φύσεως νόμιμες αποδοχές αυτών των εργαζομένων. (Το εργατικό κόστος θα είναι σύμφωνα και με τις ώρες και το προσωπικό που έχουν δηλώσει οι υποψήφιοι ανάδοχοι. Το εργατικό κόστος θα πρέπει να υπολογισθεί στη βάση του συμβατικού ημερομισθίου που προβλέπεται από την οικεία Εθνική Γενική Συλλογική Σύμβαση Εργασία (Ε.Γ.Σ.Σ.Ε.), τις ανάλογες προσαυξήσεις τους (οι οποίες σε καμία περίπτωση δεν μπορεί να είναι κατώτερες των προβλεπόμενων από την οικεία Κ.Σ.Σ.Ε.), τα επιδόματα κ.λπ. )</w:t>
      </w:r>
    </w:p>
    <w:p w14:paraId="2F9EA4C3"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5) Το ύψος των ασφαλιστικών εισφορών με βάση τα προϋπολογισθέντα ποσά των αποδοχών.</w:t>
      </w:r>
    </w:p>
    <w:p w14:paraId="742390DF"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6) Το ποσοστό διοικητικού κόστους παροχής των υπηρεσιών τους.</w:t>
      </w:r>
    </w:p>
    <w:p w14:paraId="1379B885"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lastRenderedPageBreak/>
        <w:t xml:space="preserve">7) Το κόστος των αναλωσίμων </w:t>
      </w:r>
    </w:p>
    <w:p w14:paraId="3FA88362"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8) Το εργολαβικό τους κέρδος και</w:t>
      </w:r>
    </w:p>
    <w:p w14:paraId="3EC521DD"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9) Τις νόμιμες, υπέρ Δημοσίου και τρίτων, κρατήσεις.</w:t>
      </w:r>
    </w:p>
    <w:p w14:paraId="2BB0FE44"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ΑΠΑΙΤΕΙΤΑΙ ΑΝΑΛΥΣΗ ΓΙΑ ΤΟΝ ΠΡΟΣΔΙΟΡΙΣΜΟ ΤΩΝ ΜΗΝΙΑΙΩΝ ΑΠΟΔΟΧΩΝ &amp; ΑΣΦΑΛΙΣΤΙΚΩΝ ΕΙΣΦΟΡΩΝ ΑΝΑ ΕΡΓΑΖΟΜΕΝΟ ΓΙΑ ΚΑΘΕ ΒΑΡΔΙΑ ΑΠΑΣΧΟΛΗΣΗΣ: οι διαγωνιζόμενοι θα αναλύουν ξεχωριστά πώς προκύπτει το ποσό των μηνιαίων αποδοχών ανά εργαζόμενο στη κάθε βάρδια απασχόλησης, αναφέροντας αναλυτικά τις αποδοχές (ωρομίσθιο, προσαυξήσεις επιδομάτων Χριστουγέννων, Πάσχα, αδείας και αντικατάσταση αδείας) καθώς και τις αντίστοιχες εργοδοτικές εισφορές, ώστε να μπορεί να ελεγχθεί το εργατικό κόστος της οικονομικής προσφοράς τους.)</w:t>
      </w:r>
    </w:p>
    <w:p w14:paraId="40174E85" w14:textId="77777777" w:rsidR="005E57A9" w:rsidRPr="00AC7CD0" w:rsidRDefault="005E57A9" w:rsidP="005E57A9">
      <w:pPr>
        <w:spacing w:line="360" w:lineRule="auto"/>
        <w:rPr>
          <w:rFonts w:ascii="Cambria" w:hAnsi="Cambria"/>
          <w:szCs w:val="22"/>
          <w:lang w:val="el-GR"/>
        </w:rPr>
      </w:pPr>
      <w:r w:rsidRPr="00AC7CD0">
        <w:rPr>
          <w:rFonts w:ascii="Cambria" w:hAnsi="Cambria"/>
          <w:szCs w:val="22"/>
          <w:lang w:val="el-GR"/>
        </w:rPr>
        <w:t>Η ΚΑΘ Α.Ε. ως Αναθέτουσα Αρχή, ορίζει ότι ο προσφέρων οικονομικός φορέας (εταιρείες φύλαξης) είναι αυτός που υποχρεούται να περιλάβει στην προσφορά του ποσοστό διοικητικού κόστους, αναλωσίμων καθώς και εργολαβικού κέρδους – επί ποινή απορρίψεως - δεν μπορεί να συνυπολογίσει ποσοστό μηδαμινό. Σε κάθε περίπτωση που η Επιτροπή Διενέργειας/Επιτροπή Αξιολόγησης διαπιστώσει ότι η προσφορά είναι ασυνήθιστα χαμηλή, οφείλει να καλέσει εγγράφως τον διαγωνιζόμενο να αιτιολογήσει το ασυνήθιστα χαμηλό της προσφοράς του, και αν κρίνει, εν όψει των υποβληθεισών εξηγήσεων και υπό τις συγκεκριμένες συνθήκες της διενεργούμενης διαδικασίας, ότι οι εξηγήσεις αυτές είναι ανεπαρκείς, να την απορρίψει ως απαράδεκτη. (ΑΠΟΦΑΣΗ 6/2016 ΕΝΙΑΙΑΣ ΑΝΕΞΑΡΤΗΤΗΣ ΑΡΧΗΣ ΔΗΜΟΣΙΩΝ ΣΥΜΒΑΣΕΩΝ)</w:t>
      </w:r>
    </w:p>
    <w:p w14:paraId="592C19A9" w14:textId="77777777" w:rsidR="005E57A9" w:rsidRPr="00FF329E" w:rsidRDefault="005E57A9" w:rsidP="005E57A9">
      <w:pPr>
        <w:spacing w:line="360" w:lineRule="auto"/>
        <w:rPr>
          <w:rFonts w:ascii="Cambria" w:hAnsi="Cambria"/>
          <w:szCs w:val="22"/>
          <w:lang w:val="el-GR"/>
        </w:rPr>
      </w:pPr>
      <w:bookmarkStart w:id="9" w:name="_Hlk119504494"/>
      <w:r w:rsidRPr="00FF329E">
        <w:rPr>
          <w:rFonts w:ascii="Cambria" w:hAnsi="Cambria"/>
          <w:szCs w:val="22"/>
          <w:lang w:val="el-GR"/>
        </w:rPr>
        <w:t>Επιπροσθέτως, οφείλουν να επισυνάπτουν στην προσφορά αντίγραφο της συλλογικής σύμβασης εργασίας στην οποία υπάγονται οι εργαζόμενοι. Στην περίπτωση, όπου το καθεστώς των συλλογικών συμβάσεων εργασίας έχει μεταβληθεί, θα πρέπει να επισυναφθούν τα ισοδύναμα έγγραφα.</w:t>
      </w:r>
    </w:p>
    <w:p w14:paraId="0BE13DF7"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Ως απαράδεκτες θα απορρίπτονται προσφορές στις οποίες:</w:t>
      </w:r>
    </w:p>
    <w:p w14:paraId="5B12F0D7"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α) δεν δίνεται τιμή σε ΕΥΡΩ ή καθορίζεται σχέση ΕΥΡΩ προς ξένο νόμισμα,</w:t>
      </w:r>
    </w:p>
    <w:p w14:paraId="00AE4638" w14:textId="77777777" w:rsidR="005E57A9" w:rsidRPr="00FF329E" w:rsidRDefault="005E57A9" w:rsidP="005E57A9">
      <w:pPr>
        <w:spacing w:line="360" w:lineRule="auto"/>
        <w:rPr>
          <w:rFonts w:ascii="Cambria" w:hAnsi="Cambria"/>
          <w:szCs w:val="22"/>
          <w:lang w:val="el-GR"/>
        </w:rPr>
      </w:pPr>
      <w:r w:rsidRPr="00FF329E">
        <w:rPr>
          <w:rFonts w:ascii="Cambria" w:hAnsi="Cambria"/>
          <w:szCs w:val="22"/>
          <w:lang w:val="el-GR"/>
        </w:rPr>
        <w:t>β) δεν προκύπτει με σαφήνεια η προσφερόμενη τιμή, με την επιφύλαξη της παρ. 4 του άρθρου 102 του ν. 4412/2016 και</w:t>
      </w:r>
    </w:p>
    <w:p w14:paraId="009191A8" w14:textId="168B3117" w:rsidR="00253D21" w:rsidRPr="005E57A9" w:rsidRDefault="005E57A9" w:rsidP="00352C02">
      <w:pPr>
        <w:spacing w:line="360" w:lineRule="auto"/>
        <w:rPr>
          <w:lang w:val="el-GR"/>
        </w:rPr>
      </w:pPr>
      <w:r w:rsidRPr="00FF329E">
        <w:rPr>
          <w:rFonts w:ascii="Cambria" w:hAnsi="Cambria"/>
          <w:szCs w:val="22"/>
          <w:lang w:val="el-GR"/>
        </w:rPr>
        <w:t>γ) η τιμή υπερβαίνει τον προϋπολογισμό της σύμβασης της παρούσας διακήρυξης.</w:t>
      </w:r>
      <w:bookmarkEnd w:id="9"/>
    </w:p>
    <w:sectPr w:rsidR="00253D21" w:rsidRPr="005E57A9" w:rsidSect="00253D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E57A9"/>
    <w:rsid w:val="00071830"/>
    <w:rsid w:val="00253D21"/>
    <w:rsid w:val="00352C02"/>
    <w:rsid w:val="005E57A9"/>
    <w:rsid w:val="00C56B2C"/>
    <w:rsid w:val="00D97C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4384"/>
  <w15:docId w15:val="{B72F036F-80AF-40A0-B9D7-094F1F1A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7A9"/>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5E57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5E57A9"/>
    <w:pPr>
      <w:keepLines w:val="0"/>
      <w:pBdr>
        <w:top w:val="none" w:sz="0" w:space="0" w:color="000000"/>
        <w:left w:val="none" w:sz="0" w:space="0" w:color="000000"/>
        <w:bottom w:val="single" w:sz="12" w:space="1" w:color="000080"/>
        <w:right w:val="none" w:sz="0" w:space="0" w:color="000000"/>
      </w:pBdr>
      <w:tabs>
        <w:tab w:val="left" w:pos="567"/>
      </w:tabs>
      <w:spacing w:before="240" w:after="80"/>
      <w:ind w:left="567" w:hanging="567"/>
      <w:outlineLvl w:val="1"/>
    </w:pPr>
    <w:rPr>
      <w:rFonts w:ascii="Arial" w:eastAsia="Times New Roman" w:hAnsi="Arial" w:cs="Times New Roman"/>
      <w:bCs w:val="0"/>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5E57A9"/>
    <w:rPr>
      <w:rFonts w:ascii="Arial" w:eastAsia="Times New Roman" w:hAnsi="Arial" w:cs="Times New Roman"/>
      <w:b/>
      <w:color w:val="002060"/>
      <w:sz w:val="24"/>
      <w:lang w:val="en-GB" w:eastAsia="zh-CN"/>
    </w:rPr>
  </w:style>
  <w:style w:type="paragraph" w:styleId="3">
    <w:name w:val="Body Text Indent 3"/>
    <w:basedOn w:val="a"/>
    <w:link w:val="3Char"/>
    <w:rsid w:val="005E57A9"/>
    <w:pPr>
      <w:suppressAutoHyphens w:val="0"/>
      <w:spacing w:line="312" w:lineRule="auto"/>
      <w:ind w:left="283"/>
    </w:pPr>
    <w:rPr>
      <w:rFonts w:cs="Times New Roman"/>
      <w:sz w:val="16"/>
      <w:szCs w:val="16"/>
    </w:rPr>
  </w:style>
  <w:style w:type="character" w:customStyle="1" w:styleId="3Char">
    <w:name w:val="Σώμα κείμενου με εσοχή 3 Char"/>
    <w:basedOn w:val="a0"/>
    <w:link w:val="3"/>
    <w:rsid w:val="005E57A9"/>
    <w:rPr>
      <w:rFonts w:ascii="Calibri" w:eastAsia="Times New Roman" w:hAnsi="Calibri" w:cs="Times New Roman"/>
      <w:sz w:val="16"/>
      <w:szCs w:val="16"/>
      <w:lang w:val="en-GB" w:eastAsia="zh-CN"/>
    </w:rPr>
  </w:style>
  <w:style w:type="paragraph" w:customStyle="1" w:styleId="TableParagraph">
    <w:name w:val="Table Paragraph"/>
    <w:basedOn w:val="a"/>
    <w:uiPriority w:val="1"/>
    <w:qFormat/>
    <w:rsid w:val="005E57A9"/>
    <w:pPr>
      <w:widowControl w:val="0"/>
      <w:suppressAutoHyphens w:val="0"/>
      <w:autoSpaceDE w:val="0"/>
      <w:autoSpaceDN w:val="0"/>
      <w:spacing w:after="0"/>
      <w:jc w:val="left"/>
    </w:pPr>
    <w:rPr>
      <w:rFonts w:eastAsia="Calibri"/>
      <w:szCs w:val="22"/>
      <w:lang w:val="el-GR" w:eastAsia="el-GR" w:bidi="el-GR"/>
    </w:rPr>
  </w:style>
  <w:style w:type="character" w:customStyle="1" w:styleId="1Char">
    <w:name w:val="Επικεφαλίδα 1 Char"/>
    <w:basedOn w:val="a0"/>
    <w:link w:val="1"/>
    <w:uiPriority w:val="9"/>
    <w:rsid w:val="005E57A9"/>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666</Words>
  <Characters>3600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Liapis</dc:creator>
  <cp:lastModifiedBy>Δημήτρης Λιάπης</cp:lastModifiedBy>
  <cp:revision>4</cp:revision>
  <cp:lastPrinted>2022-11-16T13:21:00Z</cp:lastPrinted>
  <dcterms:created xsi:type="dcterms:W3CDTF">2021-02-15T11:40:00Z</dcterms:created>
  <dcterms:modified xsi:type="dcterms:W3CDTF">2022-11-17T06:01:00Z</dcterms:modified>
</cp:coreProperties>
</file>